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12" w:rsidRDefault="00C87F5C">
      <w:pPr>
        <w:jc w:val="center"/>
      </w:pPr>
      <w:bookmarkStart w:id="0" w:name="_GoBack"/>
      <w:bookmarkEnd w:id="0"/>
      <w:r>
        <w:t xml:space="preserve"> Draft Curriculum Advisory Committee</w:t>
      </w:r>
    </w:p>
    <w:p w:rsidR="008B0112" w:rsidRDefault="00C87F5C">
      <w:pPr>
        <w:jc w:val="center"/>
      </w:pPr>
      <w:r>
        <w:t>Meeting minutes</w:t>
      </w:r>
    </w:p>
    <w:p w:rsidR="008B0112" w:rsidRDefault="008B0112">
      <w:pPr>
        <w:jc w:val="center"/>
      </w:pPr>
    </w:p>
    <w:p w:rsidR="008B0112" w:rsidRDefault="008B0112">
      <w:pPr>
        <w:jc w:val="center"/>
      </w:pPr>
    </w:p>
    <w:tbl>
      <w:tblPr>
        <w:tblStyle w:val="a"/>
        <w:tblW w:w="129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805"/>
        <w:gridCol w:w="585"/>
        <w:gridCol w:w="5985"/>
      </w:tblGrid>
      <w:tr w:rsidR="008B0112">
        <w:trPr>
          <w:trHeight w:val="420"/>
          <w:jc w:val="center"/>
        </w:trPr>
        <w:tc>
          <w:tcPr>
            <w:tcW w:w="129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jc w:val="center"/>
            </w:pPr>
            <w:r>
              <w:t>DATE: February 21, 2018  LOCATION: BMC 107 @ 3:30 -- 5:00 pm</w:t>
            </w:r>
          </w:p>
          <w:p w:rsidR="008B0112" w:rsidRDefault="00C87F5C">
            <w:pPr>
              <w:widowControl w:val="0"/>
              <w:spacing w:line="240" w:lineRule="auto"/>
              <w:jc w:val="center"/>
            </w:pPr>
            <w:r>
              <w:rPr>
                <w:u w:val="single"/>
              </w:rPr>
              <w:t>Attendees</w:t>
            </w:r>
            <w:r>
              <w:t xml:space="preserve">: 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Richard Abend, ESL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Laura Loop, Nursing → voting member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Judy Cutting, Dean of Instruction -- CTE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Gamble Madsen, Chairperson/Creative Arts → voting member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Kendall Diaz, Student Representative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Laura Patterson, </w:t>
            </w:r>
            <w:proofErr w:type="spellStart"/>
            <w:r>
              <w:t>CurricUNET</w:t>
            </w:r>
            <w:proofErr w:type="spellEnd"/>
            <w:r>
              <w:t xml:space="preserve"> Specialist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Fred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Hochstaedter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, Academic Senate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Beth Penney, Basic Skills/Humanities → voting me</w:t>
            </w:r>
            <w:r>
              <w:rPr>
                <w:rFonts w:ascii="Arial Unicode MS" w:eastAsia="Arial Unicode MS" w:hAnsi="Arial Unicode MS" w:cs="Arial Unicode MS"/>
              </w:rPr>
              <w:t>mber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He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Seon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Ihn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, Articulation Officer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David </w:t>
            </w:r>
            <w:proofErr w:type="spellStart"/>
            <w:r>
              <w:rPr>
                <w:rFonts w:ascii="Arial Unicode MS" w:eastAsia="Arial Unicode MS" w:hAnsi="Arial Unicode MS" w:cs="Arial Unicode MS"/>
              </w:rPr>
              <w:t>Seagal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>, Business &amp; Technology → voting member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Lynn Iwamoto, Physical Sciences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Rachel Whitworth, Social Sciences → voting member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proofErr w:type="spellStart"/>
            <w:r>
              <w:rPr>
                <w:rFonts w:ascii="Arial Unicode MS" w:eastAsia="Arial Unicode MS" w:hAnsi="Arial Unicode MS" w:cs="Arial Unicode MS"/>
              </w:rPr>
              <w:t>LaRon</w:t>
            </w:r>
            <w:proofErr w:type="spellEnd"/>
            <w:r>
              <w:rPr>
                <w:rFonts w:ascii="Arial Unicode MS" w:eastAsia="Arial Unicode MS" w:hAnsi="Arial Unicode MS" w:cs="Arial Unicode MS"/>
              </w:rPr>
              <w:t xml:space="preserve"> Johnson, Counselling/Student Services → voting member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proofErr w:type="spellStart"/>
            <w:r>
              <w:t>Cathryn</w:t>
            </w:r>
            <w:proofErr w:type="spellEnd"/>
            <w:r>
              <w:t xml:space="preserve"> Wilkinson, Dean of Instruction -- Liberal Arts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Kiran Kamath, Vice President of Academic Affairs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Vacant, Library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Kim </w:t>
            </w:r>
            <w:proofErr w:type="spellStart"/>
            <w:r>
              <w:t>Kingswold</w:t>
            </w:r>
            <w:proofErr w:type="spellEnd"/>
            <w:r>
              <w:t>, Curriculum/Catalog Technician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Vacant, Life Science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Jon </w:t>
            </w:r>
            <w:proofErr w:type="spellStart"/>
            <w:r>
              <w:t>Knolle</w:t>
            </w:r>
            <w:proofErr w:type="spellEnd"/>
            <w:r>
              <w:t>, Dean of Instruction -- Library, Learning Resources &amp; Online Ed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Vacant, Physical Education</w:t>
            </w:r>
          </w:p>
        </w:tc>
      </w:tr>
      <w:tr w:rsidR="008B0112">
        <w:trPr>
          <w:jc w:val="center"/>
        </w:trPr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Vincent van </w:t>
            </w:r>
            <w:proofErr w:type="spellStart"/>
            <w:r>
              <w:t>Joolen</w:t>
            </w:r>
            <w:proofErr w:type="spellEnd"/>
            <w:r>
              <w:t>, Dean of Instruction --- Stem</w:t>
            </w:r>
          </w:p>
        </w:tc>
        <w:tc>
          <w:tcPr>
            <w:tcW w:w="5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✔</w:t>
            </w:r>
          </w:p>
        </w:tc>
        <w:tc>
          <w:tcPr>
            <w:tcW w:w="5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John </w:t>
            </w:r>
            <w:proofErr w:type="spellStart"/>
            <w:r>
              <w:t>Skellenger</w:t>
            </w:r>
            <w:proofErr w:type="spellEnd"/>
            <w:r>
              <w:t xml:space="preserve">, Admin </w:t>
            </w:r>
            <w:proofErr w:type="spellStart"/>
            <w:r>
              <w:t>Asst</w:t>
            </w:r>
            <w:proofErr w:type="spellEnd"/>
            <w:r>
              <w:t xml:space="preserve"> III, Guest Support</w:t>
            </w:r>
          </w:p>
        </w:tc>
      </w:tr>
    </w:tbl>
    <w:p w:rsidR="008B0112" w:rsidRDefault="008B0112">
      <w:pPr>
        <w:jc w:val="center"/>
      </w:pPr>
    </w:p>
    <w:p w:rsidR="008B0112" w:rsidRDefault="00C87F5C">
      <w:r>
        <w:t>Meeting Chaired by: Gamble Madsen</w:t>
      </w:r>
    </w:p>
    <w:p w:rsidR="008B0112" w:rsidRDefault="00C87F5C">
      <w:r>
        <w:t xml:space="preserve">Notes Submitted by: John </w:t>
      </w:r>
      <w:proofErr w:type="spellStart"/>
      <w:r>
        <w:t>Skellenger</w:t>
      </w:r>
      <w:proofErr w:type="spellEnd"/>
    </w:p>
    <w:p w:rsidR="008B0112" w:rsidRDefault="008B0112"/>
    <w:tbl>
      <w:tblPr>
        <w:tblStyle w:val="a0"/>
        <w:tblW w:w="129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90"/>
        <w:gridCol w:w="5340"/>
        <w:gridCol w:w="3630"/>
      </w:tblGrid>
      <w:tr w:rsidR="008B0112">
        <w:trPr>
          <w:trHeight w:val="420"/>
        </w:trPr>
        <w:tc>
          <w:tcPr>
            <w:tcW w:w="9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Action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Called to order at 3:37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Announcements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Comments from Visitors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Approval of </w:t>
            </w:r>
          </w:p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February 21, 2018 Agenda</w:t>
            </w:r>
          </w:p>
          <w:p w:rsidR="008B0112" w:rsidRDefault="008B011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Approved with one change: the HOSP portion of the Consent Agenda will be tabled until further clarification received from Instructor Molly Jansen.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Richard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Fred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Approval of </w:t>
            </w:r>
          </w:p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February 14, 2018 minutes</w:t>
            </w:r>
          </w:p>
          <w:p w:rsidR="008B0112" w:rsidRDefault="008B011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Motion to recommend: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Seconded: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</w:t>
            </w:r>
          </w:p>
        </w:tc>
      </w:tr>
      <w:tr w:rsidR="008B0112">
        <w:trPr>
          <w:trHeight w:val="420"/>
        </w:trPr>
        <w:tc>
          <w:tcPr>
            <w:tcW w:w="9330" w:type="dxa"/>
            <w:gridSpan w:val="2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Consent Agenda</w:t>
            </w:r>
          </w:p>
        </w:tc>
        <w:tc>
          <w:tcPr>
            <w:tcW w:w="36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Motion to recommend: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Seconded: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</w:t>
            </w:r>
          </w:p>
        </w:tc>
      </w:tr>
      <w:tr w:rsidR="008B0112">
        <w:trPr>
          <w:trHeight w:val="420"/>
        </w:trPr>
        <w:tc>
          <w:tcPr>
            <w:tcW w:w="9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rPr>
                <w:b/>
              </w:rPr>
              <w:t>Deletions</w:t>
            </w:r>
            <w:r>
              <w:t xml:space="preserve"> (effective Fall 2018):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HOSP 52, HOSP 55, HOSP 56, HOSP 89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INTD 90 ORNH 90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Hospitality Operations Management: Certificate of Achievement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HOSP Operations Management CA will be tabled until clarification of whether it truly is a deletion due to the fact that it appears to have been revised to Sustainable Culinary Arts Management </w:t>
            </w:r>
            <w:r>
              <w:t>CA (which is not able to be determined as the Program Comparison report is not working).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rPr>
                <w:b/>
              </w:rPr>
              <w:t>Non-substantial changes</w:t>
            </w:r>
            <w:r>
              <w:t xml:space="preserve"> (effective Fall 2018):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 xml:space="preserve">ENSL Advanced Level Certificate of Completion: Change verbiage in </w:t>
            </w:r>
            <w:proofErr w:type="spellStart"/>
            <w:r>
              <w:t>CurricUNET</w:t>
            </w:r>
            <w:proofErr w:type="spellEnd"/>
            <w:r>
              <w:t xml:space="preserve"> and the Catalog for Active Program FROM: </w:t>
            </w:r>
            <w:r>
              <w:t>"Students may also qualify for the certificate by completing one of the following: ENSL 431, ENSL 434, or ENSL 435 and fulfilling the remaining course requirements via an ENSL Assessment Exam Placement or ENSL Challenge Exam" TO: "Students may also qualify</w:t>
            </w:r>
            <w:r>
              <w:t xml:space="preserve"> for the certificate by completing one of the following: ENSL 455, ENSL 446, or ENSL 448 and fulfilling the remaining course requirements via an ENSL Assessment Exam Placement or ENSL Challenge Exam."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FPTC 213 and FPTC 214 had the hours listed incorrectl</w:t>
            </w:r>
            <w:r>
              <w:t xml:space="preserve">y in our 2017-2018 Catalog. Faculty have also requested a change to the first sentence of the Catalog Descriptions to better represent the hours for each course: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       - FPTC 213 - Change the first sentence of the Catalog Description FROM: This course i</w:t>
            </w:r>
            <w:r>
              <w:t xml:space="preserve">s intended...TO: This variable-hour course (110.5 to 306 hours) is intended...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       - FPTC 214 - Change the first sentence of the Catalog Description FROM: This course meets the training needs...TO: This variable-hour course (34 to 110.5 hours) meets t</w:t>
            </w:r>
            <w:r>
              <w:t>he training needs...</w:t>
            </w:r>
          </w:p>
          <w:p w:rsidR="008B0112" w:rsidRDefault="008B0112">
            <w:pPr>
              <w:widowControl w:val="0"/>
              <w:spacing w:line="240" w:lineRule="auto"/>
              <w:rPr>
                <w:b/>
              </w:rPr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Notes will be entered into </w:t>
            </w:r>
            <w:proofErr w:type="spellStart"/>
            <w:r>
              <w:t>CurriCUNET</w:t>
            </w:r>
            <w:proofErr w:type="spellEnd"/>
            <w:r>
              <w:t xml:space="preserve"> and SIS by Kim or Gamble regarding the non-substantial change to ENSL and FPTC.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rPr>
          <w:trHeight w:val="420"/>
        </w:trPr>
        <w:tc>
          <w:tcPr>
            <w:tcW w:w="9330" w:type="dxa"/>
            <w:gridSpan w:val="2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Discussion Agenda</w:t>
            </w:r>
          </w:p>
        </w:tc>
        <w:tc>
          <w:tcPr>
            <w:tcW w:w="3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rPr>
          <w:trHeight w:val="420"/>
        </w:trPr>
        <w:tc>
          <w:tcPr>
            <w:tcW w:w="93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  <w:p w:rsidR="008B0112" w:rsidRDefault="008B0112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36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rPr>
          <w:trHeight w:val="480"/>
        </w:trPr>
        <w:tc>
          <w:tcPr>
            <w:tcW w:w="12960" w:type="dxa"/>
            <w:gridSpan w:val="3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Action Agenda</w:t>
            </w:r>
          </w:p>
        </w:tc>
      </w:tr>
      <w:tr w:rsidR="008B0112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Courses and Programs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FPTC 106: Firefighter II Academy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Hours, textbook and requisite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Rachel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FPTC 106: Firefighter II Academy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Requisite Approval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Gamble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LETP 290: Instructor Development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Revisions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Richard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 Gamble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LETP 290: Instructor Development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Requisite approval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Laura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LETP 290: Instructor Development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DE 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Checking both DE and Hybrid MOI.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Richard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MEDA 101: </w:t>
            </w:r>
            <w:r>
              <w:rPr>
                <w:sz w:val="20"/>
                <w:szCs w:val="20"/>
              </w:rPr>
              <w:t>Ethics, Law, and IT Security in the Medical Office</w:t>
            </w:r>
          </w:p>
          <w:p w:rsidR="008B0112" w:rsidRDefault="008B011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112: Medical Office Computer Applications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113: Medical Procedure Coding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</w:t>
            </w:r>
            <w:r>
              <w:t>14: Medical Insurance Management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116: Medical Linguistics and Transcription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117: ICD 10 CODING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Grouped MEDA courses for approval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MEDA 101, 112, 113, 114, 116, 117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113, 114 approved pending completion and advisories.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Richard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Fred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MEDA 101: </w:t>
            </w:r>
            <w:r>
              <w:rPr>
                <w:sz w:val="20"/>
                <w:szCs w:val="20"/>
              </w:rPr>
              <w:t>Ethics, Law, and IT Security in the Medical Office</w:t>
            </w:r>
          </w:p>
          <w:p w:rsidR="008B0112" w:rsidRDefault="008B011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MEDA 112: Medical Office Computer Applications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113: Medical Procedure Coding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114: Medical Insurance Management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116: Medical Linguistics and Transcription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117: ICD 10 CODING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 xml:space="preserve">DE Revision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Grouped MEDA courses for approval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MEDA 101, 112, 113, 114, 116, 117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Motion to recommend: Beth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lastRenderedPageBreak/>
              <w:t xml:space="preserve">MEDA 101: </w:t>
            </w:r>
            <w:r>
              <w:rPr>
                <w:sz w:val="20"/>
                <w:szCs w:val="20"/>
              </w:rPr>
              <w:t>Ethics, Law, and IT Se</w:t>
            </w:r>
            <w:r>
              <w:rPr>
                <w:sz w:val="20"/>
                <w:szCs w:val="20"/>
              </w:rPr>
              <w:t>curity in the Medical Office</w:t>
            </w:r>
          </w:p>
          <w:p w:rsidR="008B0112" w:rsidRDefault="008B011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112: Medical Office Computer Applications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113: Medical Procedure Coding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114: Medical Insurance Management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116: Medical Linguistics and Transcription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MEDA 117: ICD 10 CODING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Requisite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Grouped MEDA courses for approval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MEDA 101, 112, 113, 114, 116, 117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Laura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Rachel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PERS 50: Making College Count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PERS 51: Career and Life Planning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Revision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Grouped together for approval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Lynn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Laura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PERS 50: Making College Count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PERS 51: Career and Life Planning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DE 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Grouped together for approval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Rachel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Fred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PHED 20.9: Skill Development for Track and Field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Motion to recommend: Fred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Seconded: Rachel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CAC Committee Voted: Aye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Automotive Technology: Certificate of Achievement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Tabled until next week.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Needs further revision to match or provide </w:t>
            </w:r>
            <w:r>
              <w:t xml:space="preserve">explanation for the differences with the </w:t>
            </w:r>
            <w:proofErr w:type="spellStart"/>
            <w:r>
              <w:t>the</w:t>
            </w:r>
            <w:proofErr w:type="spellEnd"/>
            <w:r>
              <w:t xml:space="preserve"> other Auto Tech Certificate.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Business – Entrepreneurship: Certificate of Training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Integrate recently approved courses.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Discussion of requiring BUSI 68 as a capstone course and if it is required since this is an Entrepreneurship Certificate.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Tabled until further clarification can be established. 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Business Administration: Certificate of Achievement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C87F5C">
            <w:pPr>
              <w:widowControl w:val="0"/>
              <w:spacing w:line="240" w:lineRule="auto"/>
            </w:pPr>
            <w:r>
              <w:t>Remov</w:t>
            </w:r>
            <w:r>
              <w:t xml:space="preserve">e CSIS 50L as it appears twice in the Program Block. 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Business Administration: Associate in </w:t>
            </w:r>
            <w:r>
              <w:lastRenderedPageBreak/>
              <w:t>Science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Revision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lastRenderedPageBreak/>
              <w:t>Massage Practitioner: Certificate of Training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Concerns with the phrase, “effective oral and written communication skills” since those skills are not part of the written curriculum. This could create difficulty during their program review mapping. 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Tabled pending confirmation with instructor regarding</w:t>
            </w:r>
            <w:r>
              <w:t xml:space="preserve"> the phrase mentioned above. 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Massage Therapist: Certificate of Training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Tabled pending confirmation with instructor 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 xml:space="preserve">Massage Therapy: Associate in Science 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Tabled pending confirmation with instructor </w:t>
            </w:r>
          </w:p>
          <w:p w:rsidR="008B0112" w:rsidRDefault="008B0112">
            <w:pPr>
              <w:widowControl w:val="0"/>
              <w:spacing w:line="240" w:lineRule="auto"/>
            </w:pP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Massage Therapy Certificate of Achievement</w:t>
            </w:r>
          </w:p>
        </w:tc>
        <w:tc>
          <w:tcPr>
            <w:tcW w:w="5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Revision</w:t>
            </w:r>
          </w:p>
          <w:p w:rsidR="008B0112" w:rsidRDefault="008B0112">
            <w:pPr>
              <w:widowControl w:val="0"/>
              <w:spacing w:line="240" w:lineRule="auto"/>
            </w:pPr>
          </w:p>
          <w:p w:rsidR="008B0112" w:rsidRDefault="00C87F5C">
            <w:pPr>
              <w:widowControl w:val="0"/>
              <w:spacing w:line="240" w:lineRule="auto"/>
            </w:pPr>
            <w:r>
              <w:t xml:space="preserve">Tabled pending confirmation with instructor </w:t>
            </w:r>
          </w:p>
        </w:tc>
        <w:tc>
          <w:tcPr>
            <w:tcW w:w="3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</w:pPr>
            <w:r>
              <w:t>Tabled</w:t>
            </w:r>
          </w:p>
        </w:tc>
      </w:tr>
      <w:tr w:rsidR="008B0112">
        <w:trPr>
          <w:trHeight w:val="420"/>
        </w:trPr>
        <w:tc>
          <w:tcPr>
            <w:tcW w:w="129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0112" w:rsidRDefault="00C87F5C">
            <w:pPr>
              <w:widowControl w:val="0"/>
              <w:spacing w:line="240" w:lineRule="auto"/>
              <w:jc w:val="center"/>
            </w:pPr>
            <w:r>
              <w:t>Next Meeting: February 28, 2018</w:t>
            </w:r>
          </w:p>
          <w:p w:rsidR="008B0112" w:rsidRDefault="00C87F5C">
            <w:pPr>
              <w:widowControl w:val="0"/>
              <w:spacing w:line="240" w:lineRule="auto"/>
              <w:jc w:val="center"/>
            </w:pPr>
            <w:r>
              <w:t>Location BMC 107</w:t>
            </w:r>
          </w:p>
        </w:tc>
      </w:tr>
    </w:tbl>
    <w:p w:rsidR="008B0112" w:rsidRDefault="008B0112"/>
    <w:sectPr w:rsidR="008B0112">
      <w:pgSz w:w="15840" w:h="122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B0112"/>
    <w:rsid w:val="008B0112"/>
    <w:rsid w:val="00C8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FD76BAD3</Template>
  <TotalTime>0</TotalTime>
  <Pages>7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Peninsula College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Gamble Madsen</dc:creator>
  <cp:lastModifiedBy>Gamble Madsen</cp:lastModifiedBy>
  <cp:revision>2</cp:revision>
  <dcterms:created xsi:type="dcterms:W3CDTF">2018-02-27T21:13:00Z</dcterms:created>
  <dcterms:modified xsi:type="dcterms:W3CDTF">2018-02-27T21:13:00Z</dcterms:modified>
</cp:coreProperties>
</file>