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61" w:rsidRDefault="00806A52">
      <w:pPr>
        <w:pStyle w:val="Title"/>
      </w:pPr>
      <w:bookmarkStart w:id="0" w:name="_GoBack"/>
      <w:bookmarkEnd w:id="0"/>
      <w:r>
        <w:t xml:space="preserve"> Curriculum Advisory Committee</w:t>
      </w:r>
    </w:p>
    <w:p w:rsidR="00B31F61" w:rsidRDefault="0080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B31F61" w:rsidRDefault="00B31F61">
      <w:pPr>
        <w:ind w:firstLine="720"/>
        <w:rPr>
          <w:b/>
          <w:sz w:val="16"/>
          <w:szCs w:val="16"/>
        </w:rPr>
      </w:pPr>
    </w:p>
    <w:tbl>
      <w:tblPr>
        <w:tblStyle w:val="a"/>
        <w:tblW w:w="13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6096"/>
        <w:gridCol w:w="546"/>
        <w:gridCol w:w="6420"/>
      </w:tblGrid>
      <w:tr w:rsidR="00B31F61">
        <w:trPr>
          <w:trHeight w:val="360"/>
        </w:trPr>
        <w:tc>
          <w:tcPr>
            <w:tcW w:w="13500" w:type="dxa"/>
            <w:gridSpan w:val="4"/>
          </w:tcPr>
          <w:p w:rsidR="00B31F61" w:rsidRDefault="00806A5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DATE: July 31, 2017  LOCATION:  BMC 205 @ 3:15pm-4:45pm</w:t>
            </w:r>
          </w:p>
          <w:p w:rsidR="00B31F61" w:rsidRDefault="00806A5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Attendees:</w:t>
            </w:r>
          </w:p>
        </w:tc>
      </w:tr>
      <w:tr w:rsidR="00B31F61">
        <w:trPr>
          <w:trHeight w:val="28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Richard Abend, Humanities</w:t>
            </w:r>
          </w:p>
        </w:tc>
        <w:tc>
          <w:tcPr>
            <w:tcW w:w="546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Gamble Madsen, Chairperson/Creative Arts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Judy Cutting, Dean of Instruction - CTE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Jill Ostrie, CurricUNET Tech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B31F61">
            <w:pPr>
              <w:jc w:val="center"/>
            </w:pP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Kendall Diaz, Student Representative</w:t>
            </w:r>
          </w:p>
        </w:tc>
        <w:tc>
          <w:tcPr>
            <w:tcW w:w="546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Laura Patterson, CurricUNET Specialist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Fred Hochstaedter, Academic Senate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Beth Penney, Basic Skills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He Seon Ihn, Articulation Officer</w:t>
            </w:r>
          </w:p>
        </w:tc>
        <w:tc>
          <w:tcPr>
            <w:tcW w:w="546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rPr>
                <w:color w:val="222222"/>
                <w:highlight w:val="white"/>
              </w:rPr>
              <w:t>David Seagal</w:t>
            </w:r>
            <w:r>
              <w:t>, Business and Technology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Lynn Iwamoto, Physical Sciences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Catherine Webb, Library</w:t>
            </w:r>
          </w:p>
        </w:tc>
      </w:tr>
      <w:tr w:rsidR="00B31F61">
        <w:trPr>
          <w:trHeight w:val="28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LaRon Johnson, Student Services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Rachel Whitworth, Social Sciences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B31F61">
            <w:pPr>
              <w:jc w:val="center"/>
            </w:pP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Kiran Kamath, Vice President of Academic Affairs</w:t>
            </w:r>
          </w:p>
        </w:tc>
        <w:tc>
          <w:tcPr>
            <w:tcW w:w="546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Cathryn Wilkinson, Dean of Instruction – Liberal Arts</w:t>
            </w:r>
          </w:p>
        </w:tc>
      </w:tr>
      <w:tr w:rsidR="00B31F61">
        <w:trPr>
          <w:trHeight w:val="30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Kim Kingswold, Curriculum/Catalog Technician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Vacant, ESL</w:t>
            </w:r>
          </w:p>
        </w:tc>
      </w:tr>
      <w:tr w:rsidR="00B31F61">
        <w:trPr>
          <w:trHeight w:val="320"/>
        </w:trPr>
        <w:tc>
          <w:tcPr>
            <w:tcW w:w="438" w:type="dxa"/>
          </w:tcPr>
          <w:p w:rsidR="00B31F61" w:rsidRDefault="00B31F61">
            <w:pPr>
              <w:jc w:val="center"/>
            </w:pP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Jon Knolle, Dean of Instruction – Library, Learning Resources, &amp; Online Ed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Vacant, Life Science</w:t>
            </w:r>
          </w:p>
        </w:tc>
      </w:tr>
      <w:tr w:rsidR="00B31F61">
        <w:trPr>
          <w:trHeight w:val="320"/>
        </w:trPr>
        <w:tc>
          <w:tcPr>
            <w:tcW w:w="438" w:type="dxa"/>
          </w:tcPr>
          <w:p w:rsidR="00B31F61" w:rsidRDefault="00B31F61">
            <w:pPr>
              <w:jc w:val="center"/>
            </w:pP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Paul Long, Dean of Instruction - STEM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Vacant, Physical Education</w:t>
            </w:r>
          </w:p>
        </w:tc>
      </w:tr>
      <w:tr w:rsidR="00B31F61">
        <w:trPr>
          <w:trHeight w:val="320"/>
        </w:trPr>
        <w:tc>
          <w:tcPr>
            <w:tcW w:w="438" w:type="dxa"/>
          </w:tcPr>
          <w:p w:rsidR="00B31F61" w:rsidRDefault="00806A5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6096" w:type="dxa"/>
          </w:tcPr>
          <w:p w:rsidR="00B31F61" w:rsidRDefault="00806A52">
            <w:pPr>
              <w:tabs>
                <w:tab w:val="center" w:pos="4320"/>
                <w:tab w:val="right" w:pos="8640"/>
              </w:tabs>
            </w:pPr>
            <w:r>
              <w:t>Laura Loop, Nursing</w:t>
            </w:r>
          </w:p>
        </w:tc>
        <w:tc>
          <w:tcPr>
            <w:tcW w:w="546" w:type="dxa"/>
          </w:tcPr>
          <w:p w:rsidR="00B31F61" w:rsidRDefault="00B31F61">
            <w:pPr>
              <w:jc w:val="center"/>
            </w:pPr>
          </w:p>
        </w:tc>
        <w:tc>
          <w:tcPr>
            <w:tcW w:w="6420" w:type="dxa"/>
          </w:tcPr>
          <w:p w:rsidR="00B31F61" w:rsidRDefault="00B31F61">
            <w:pPr>
              <w:tabs>
                <w:tab w:val="center" w:pos="4320"/>
                <w:tab w:val="right" w:pos="8640"/>
              </w:tabs>
            </w:pPr>
          </w:p>
        </w:tc>
      </w:tr>
    </w:tbl>
    <w:p w:rsidR="00B31F61" w:rsidRDefault="00B31F61">
      <w:pPr>
        <w:tabs>
          <w:tab w:val="center" w:pos="4320"/>
          <w:tab w:val="right" w:pos="8640"/>
        </w:tabs>
      </w:pPr>
    </w:p>
    <w:p w:rsidR="00B31F61" w:rsidRDefault="00806A52">
      <w:pPr>
        <w:tabs>
          <w:tab w:val="center" w:pos="4320"/>
          <w:tab w:val="right" w:pos="8640"/>
        </w:tabs>
      </w:pPr>
      <w:r>
        <w:t>Meeting Chaired by:  Gamble Madsen</w:t>
      </w:r>
    </w:p>
    <w:p w:rsidR="00B31F61" w:rsidRDefault="00806A52">
      <w:pPr>
        <w:tabs>
          <w:tab w:val="center" w:pos="4320"/>
          <w:tab w:val="right" w:pos="8640"/>
        </w:tabs>
      </w:pPr>
      <w:r>
        <w:t>Notes Submitted by:  Laura Patterson</w:t>
      </w:r>
    </w:p>
    <w:p w:rsidR="00B31F61" w:rsidRDefault="00806A52">
      <w:pPr>
        <w:tabs>
          <w:tab w:val="center" w:pos="4320"/>
          <w:tab w:val="right" w:pos="8640"/>
        </w:tabs>
        <w:rPr>
          <w:sz w:val="16"/>
          <w:szCs w:val="16"/>
        </w:rPr>
      </w:pPr>
      <w:r>
        <w:rPr>
          <w:sz w:val="20"/>
          <w:szCs w:val="20"/>
        </w:rPr>
        <w:t xml:space="preserve">   </w:t>
      </w:r>
    </w:p>
    <w:tbl>
      <w:tblPr>
        <w:tblStyle w:val="a0"/>
        <w:tblW w:w="13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7888"/>
        <w:gridCol w:w="3240"/>
      </w:tblGrid>
      <w:tr w:rsidR="00B31F61">
        <w:tc>
          <w:tcPr>
            <w:tcW w:w="10252" w:type="dxa"/>
            <w:gridSpan w:val="2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240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31F61">
        <w:trPr>
          <w:trHeight w:val="340"/>
        </w:trPr>
        <w:tc>
          <w:tcPr>
            <w:tcW w:w="2364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7888" w:type="dxa"/>
          </w:tcPr>
          <w:p w:rsidR="00B31F61" w:rsidRDefault="00806A52">
            <w:pPr>
              <w:numPr>
                <w:ilvl w:val="0"/>
                <w:numId w:val="2"/>
              </w:numPr>
              <w:contextualSpacing/>
            </w:pPr>
            <w:r>
              <w:t xml:space="preserve">Public Comments read by Gamble (See Agenda item III)   </w:t>
            </w:r>
          </w:p>
          <w:p w:rsidR="00B31F61" w:rsidRDefault="00806A52">
            <w:pPr>
              <w:numPr>
                <w:ilvl w:val="0"/>
                <w:numId w:val="2"/>
              </w:numPr>
              <w:contextualSpacing/>
            </w:pPr>
            <w:r>
              <w:t>New deans (Judy &amp; Catheryn) introduced themselves</w:t>
            </w:r>
          </w:p>
        </w:tc>
        <w:tc>
          <w:tcPr>
            <w:tcW w:w="3240" w:type="dxa"/>
          </w:tcPr>
          <w:p w:rsidR="00B31F61" w:rsidRDefault="00B31F61"/>
        </w:tc>
      </w:tr>
      <w:tr w:rsidR="00B31F61">
        <w:trPr>
          <w:trHeight w:val="340"/>
        </w:trPr>
        <w:tc>
          <w:tcPr>
            <w:tcW w:w="2364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7888" w:type="dxa"/>
          </w:tcPr>
          <w:p w:rsidR="00B31F61" w:rsidRDefault="00B31F61"/>
          <w:p w:rsidR="00B31F61" w:rsidRDefault="00B31F61"/>
        </w:tc>
        <w:tc>
          <w:tcPr>
            <w:tcW w:w="3240" w:type="dxa"/>
          </w:tcPr>
          <w:p w:rsidR="00B31F61" w:rsidRDefault="00B31F61"/>
        </w:tc>
      </w:tr>
      <w:tr w:rsidR="00B31F61">
        <w:trPr>
          <w:trHeight w:val="340"/>
        </w:trPr>
        <w:tc>
          <w:tcPr>
            <w:tcW w:w="2364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 xml:space="preserve">Approval of  </w:t>
            </w:r>
          </w:p>
          <w:p w:rsidR="00B31F61" w:rsidRDefault="00806A52">
            <w:pPr>
              <w:rPr>
                <w:b/>
              </w:rPr>
            </w:pPr>
            <w:r>
              <w:rPr>
                <w:b/>
              </w:rPr>
              <w:t>July 31 Agenda</w:t>
            </w:r>
          </w:p>
        </w:tc>
        <w:tc>
          <w:tcPr>
            <w:tcW w:w="7888" w:type="dxa"/>
          </w:tcPr>
          <w:p w:rsidR="00B31F61" w:rsidRDefault="00806A52">
            <w:r>
              <w:rPr>
                <w:b/>
              </w:rPr>
              <w:t>Corrections noted:</w:t>
            </w:r>
            <w:r>
              <w:t xml:space="preserve"> none</w:t>
            </w:r>
          </w:p>
        </w:tc>
        <w:tc>
          <w:tcPr>
            <w:tcW w:w="3240" w:type="dxa"/>
          </w:tcPr>
          <w:p w:rsidR="00B31F61" w:rsidRDefault="00806A52">
            <w:r>
              <w:t>Motion to approve: Fred</w:t>
            </w:r>
          </w:p>
          <w:p w:rsidR="00B31F61" w:rsidRDefault="00806A52">
            <w:r>
              <w:t>Seconded: Laura L</w:t>
            </w:r>
          </w:p>
          <w:p w:rsidR="00B31F61" w:rsidRDefault="00806A52">
            <w:pPr>
              <w:rPr>
                <w:b/>
              </w:rPr>
            </w:pPr>
            <w:r>
              <w:lastRenderedPageBreak/>
              <w:t>CAC Committee Voted: Aye</w:t>
            </w:r>
          </w:p>
          <w:p w:rsidR="00B31F61" w:rsidRDefault="00B31F61"/>
        </w:tc>
      </w:tr>
      <w:tr w:rsidR="00B31F61">
        <w:trPr>
          <w:trHeight w:val="340"/>
        </w:trPr>
        <w:tc>
          <w:tcPr>
            <w:tcW w:w="2364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Approval of </w:t>
            </w:r>
          </w:p>
          <w:p w:rsidR="00B31F61" w:rsidRDefault="00806A52">
            <w:pPr>
              <w:rPr>
                <w:b/>
              </w:rPr>
            </w:pPr>
            <w:r>
              <w:rPr>
                <w:b/>
              </w:rPr>
              <w:t>May 17 minutes</w:t>
            </w:r>
          </w:p>
        </w:tc>
        <w:tc>
          <w:tcPr>
            <w:tcW w:w="7888" w:type="dxa"/>
          </w:tcPr>
          <w:p w:rsidR="00B31F61" w:rsidRDefault="00806A52">
            <w:r>
              <w:rPr>
                <w:b/>
              </w:rPr>
              <w:t xml:space="preserve">Corrections noted: </w:t>
            </w:r>
            <w:r>
              <w:t>none</w:t>
            </w:r>
          </w:p>
          <w:p w:rsidR="00B31F61" w:rsidRDefault="00B31F61"/>
          <w:p w:rsidR="00B31F61" w:rsidRDefault="00B31F61"/>
        </w:tc>
        <w:tc>
          <w:tcPr>
            <w:tcW w:w="3240" w:type="dxa"/>
          </w:tcPr>
          <w:p w:rsidR="00B31F61" w:rsidRDefault="00806A52">
            <w:r>
              <w:t>Motion to approve: Fred</w:t>
            </w:r>
          </w:p>
          <w:p w:rsidR="00B31F61" w:rsidRDefault="00806A52">
            <w:r>
              <w:t>Seconded: Lynn</w:t>
            </w:r>
          </w:p>
          <w:p w:rsidR="00B31F61" w:rsidRDefault="00806A52">
            <w:pPr>
              <w:rPr>
                <w:b/>
              </w:rPr>
            </w:pPr>
            <w:r>
              <w:t>CAC Committee Voted: Aye</w:t>
            </w:r>
          </w:p>
        </w:tc>
      </w:tr>
      <w:tr w:rsidR="00B31F61">
        <w:trPr>
          <w:trHeight w:val="340"/>
        </w:trPr>
        <w:tc>
          <w:tcPr>
            <w:tcW w:w="2364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 xml:space="preserve">Consent Agenda </w:t>
            </w:r>
          </w:p>
          <w:p w:rsidR="00B31F61" w:rsidRDefault="00B31F61">
            <w:pPr>
              <w:rPr>
                <w:b/>
              </w:rPr>
            </w:pPr>
          </w:p>
        </w:tc>
        <w:tc>
          <w:tcPr>
            <w:tcW w:w="7888" w:type="dxa"/>
          </w:tcPr>
          <w:p w:rsidR="00B31F61" w:rsidRDefault="00806A52">
            <w:pPr>
              <w:numPr>
                <w:ilvl w:val="0"/>
                <w:numId w:val="6"/>
              </w:num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Deletions: effective fall 2017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ARTP 20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BUSI 200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CSIS 62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EDUC 90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ENSL 90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FASH 53, 63, 65, 73, 75, 186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FREN 225B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>HOSP 57, 62, 69, 72, 73, 74, 75, 76, 79, 85 [SIS: HOSP 57 and 62 effective fall 2017; HOSP 69, 72, 73, 74, 75, 76, 79, 85 effective spring 2018]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English: Associate in Arts, Transfer Preparation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History: Associate in Arts, Transfer Preparation </w:t>
            </w:r>
          </w:p>
          <w:p w:rsidR="00B31F61" w:rsidRDefault="00806A52">
            <w:pPr>
              <w:numPr>
                <w:ilvl w:val="0"/>
                <w:numId w:val="4"/>
              </w:numPr>
              <w:contextualSpacing/>
            </w:pPr>
            <w:r>
              <w:t xml:space="preserve">Business - Secretarial: Associate in Science, Career Technical </w:t>
            </w:r>
          </w:p>
          <w:p w:rsidR="00B31F61" w:rsidRDefault="00B31F61">
            <w:pPr>
              <w:ind w:left="360"/>
            </w:pPr>
          </w:p>
          <w:p w:rsidR="00B31F61" w:rsidRDefault="00806A52">
            <w:pPr>
              <w:numPr>
                <w:ilvl w:val="0"/>
                <w:numId w:val="6"/>
              </w:num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Deletions: effective spring 2018 </w:t>
            </w:r>
          </w:p>
          <w:p w:rsidR="00B31F61" w:rsidRDefault="00806A52">
            <w:pPr>
              <w:numPr>
                <w:ilvl w:val="1"/>
                <w:numId w:val="6"/>
              </w:numPr>
              <w:contextualSpacing/>
            </w:pPr>
            <w:r>
              <w:t>HOSP 57, 62, 69, 72, 73, 74, 75, 76, 79, 85</w:t>
            </w:r>
          </w:p>
        </w:tc>
        <w:tc>
          <w:tcPr>
            <w:tcW w:w="3240" w:type="dxa"/>
          </w:tcPr>
          <w:p w:rsidR="00B31F61" w:rsidRDefault="00806A52">
            <w:r>
              <w:t>Motion to approve: Fred</w:t>
            </w:r>
          </w:p>
          <w:p w:rsidR="00B31F61" w:rsidRDefault="00806A52">
            <w:r>
              <w:t>Seconded: Laura L</w:t>
            </w:r>
          </w:p>
          <w:p w:rsidR="00B31F61" w:rsidRDefault="00806A52">
            <w:pPr>
              <w:rPr>
                <w:b/>
              </w:rPr>
            </w:pPr>
            <w:r>
              <w:t>CAC Committee Voted: Aye</w:t>
            </w:r>
          </w:p>
          <w:p w:rsidR="00B31F61" w:rsidRDefault="00806A52">
            <w:r>
              <w:t xml:space="preserve"> </w:t>
            </w:r>
          </w:p>
        </w:tc>
      </w:tr>
      <w:tr w:rsidR="00B31F61">
        <w:trPr>
          <w:trHeight w:val="340"/>
        </w:trPr>
        <w:tc>
          <w:tcPr>
            <w:tcW w:w="13492" w:type="dxa"/>
            <w:gridSpan w:val="3"/>
            <w:shd w:val="clear" w:color="auto" w:fill="FDEADA"/>
          </w:tcPr>
          <w:p w:rsidR="00B31F61" w:rsidRDefault="00806A52">
            <w:r>
              <w:rPr>
                <w:b/>
              </w:rPr>
              <w:t>Non-Substantial Changes</w:t>
            </w:r>
          </w:p>
        </w:tc>
      </w:tr>
      <w:tr w:rsidR="00B31F61">
        <w:trPr>
          <w:trHeight w:val="340"/>
        </w:trPr>
        <w:tc>
          <w:tcPr>
            <w:tcW w:w="10252" w:type="dxa"/>
            <w:gridSpan w:val="2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Effective fall 2017</w:t>
            </w:r>
          </w:p>
          <w:p w:rsidR="00B31F61" w:rsidRDefault="00B31F61">
            <w:pPr>
              <w:rPr>
                <w:b/>
              </w:rPr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5/18/17: per Michael Gilmartin, rescind deletions for ETNC 20, ANTH 20, ETNC 40, and HIST 40 and update the programs that included them</w:t>
            </w:r>
          </w:p>
          <w:p w:rsidR="00B31F61" w:rsidRDefault="00B31F61">
            <w:pPr>
              <w:ind w:left="36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ARPT 12B: Rescind deletion approved on March 29th as course was taught Spring 2017 and will be ass</w:t>
            </w:r>
            <w:r>
              <w:t xml:space="preserve">essed (offered every two years)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ARTD 47B: Rescind deletion approved on March 29th as a new materials fee approved by Consent on April 26th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ARTP 58: Revision renaming PHOT 56 to ARTP 58 (course title = Photographic Lighting)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ARTS 95.1: Rescind deletion approved on March 29th (effective Spring 2018) as there is enrollment for Fall 2017 and the course must therefore remain in the 2017-2018 catalog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BIOL 21: Revision to remove deleted prerequisite (MATH 12) and update text to ne</w:t>
            </w:r>
            <w:r>
              <w:t xml:space="preserve">w edition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BIOL 22: Revision to remove prerequisite course that has been deleted (MATH 12)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CSIS 10C: Revision to remove deleted prerequisites (CSIS 55 and CSIS 56)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HUMA 4: Revision to remove cross-listed deleted course ARTH 6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MATH 10: Revision to re</w:t>
            </w:r>
            <w:r>
              <w:t xml:space="preserve">move deleted prerequisite (MATH 264) and update text to current (2017) edition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MATH 17: Revision to remove deleted prerequisite (MATH 264)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MATH 20C: Revision of SLO/GEO language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 xml:space="preserve">PHED 43: Revise Requisites and Advisories to “Eligibility for ENGL 1A”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SOCI 113, 116, 117: Approved as course deletions on March 29th , but courses do not exist at MPC; retract CAC approval of these deletions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0"/>
                <w:numId w:val="5"/>
              </w:numPr>
              <w:contextualSpacing/>
            </w:pPr>
            <w:r>
              <w:t>Computer Networking and Security Associate in Science – also need to fix (changing 179 to 179A in course blocks appr</w:t>
            </w:r>
            <w:r>
              <w:t xml:space="preserve">oved by CAC 5/17/17): </w:t>
            </w:r>
          </w:p>
          <w:p w:rsidR="00B31F61" w:rsidRDefault="00806A52">
            <w:pPr>
              <w:numPr>
                <w:ilvl w:val="1"/>
                <w:numId w:val="5"/>
              </w:numPr>
              <w:contextualSpacing/>
            </w:pPr>
            <w:r>
              <w:t xml:space="preserve">In electives: 83 is now 83A; 174 is now 174A </w:t>
            </w:r>
          </w:p>
          <w:p w:rsidR="00B31F61" w:rsidRDefault="00806A52">
            <w:pPr>
              <w:numPr>
                <w:ilvl w:val="1"/>
                <w:numId w:val="5"/>
              </w:numPr>
              <w:contextualSpacing/>
            </w:pPr>
            <w:r>
              <w:t xml:space="preserve">In Option 2: 83 is now 83A; 174 is now 174A </w:t>
            </w:r>
          </w:p>
          <w:p w:rsidR="00B31F61" w:rsidRDefault="00806A52">
            <w:pPr>
              <w:numPr>
                <w:ilvl w:val="1"/>
                <w:numId w:val="5"/>
              </w:numPr>
              <w:contextualSpacing/>
            </w:pPr>
            <w:r>
              <w:t>In Option 3: 191 is now 88</w:t>
            </w:r>
          </w:p>
          <w:p w:rsidR="00B31F61" w:rsidRDefault="00B31F61">
            <w:pPr>
              <w:ind w:left="1080"/>
            </w:pPr>
          </w:p>
          <w:p w:rsidR="00B31F61" w:rsidRDefault="00806A52">
            <w:pPr>
              <w:numPr>
                <w:ilvl w:val="0"/>
                <w:numId w:val="1"/>
              </w:numPr>
              <w:contextualSpacing/>
            </w:pPr>
            <w:r>
              <w:t>Math Associate in Science for Transfer: Remove ENGR 17, which does not meet the TMC template requirement for articulation in the major (possible issue with C-ID for MATH 40)</w:t>
            </w:r>
          </w:p>
          <w:p w:rsidR="00B31F61" w:rsidRDefault="00B31F61">
            <w:pPr>
              <w:ind w:left="360"/>
            </w:pPr>
          </w:p>
          <w:p w:rsidR="00B31F61" w:rsidRDefault="00806A52">
            <w:pPr>
              <w:numPr>
                <w:ilvl w:val="0"/>
                <w:numId w:val="1"/>
              </w:numPr>
              <w:contextualSpacing/>
            </w:pPr>
            <w:r>
              <w:t>Program revisions created in response to course deletions (accreditation realignm</w:t>
            </w:r>
            <w:r>
              <w:t>ent requirements and to preserve a record in CurricUNET):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Anthropology – Associate in Arts for Transfer (remove ANTH 15) </w:t>
            </w:r>
          </w:p>
          <w:p w:rsidR="00B31F61" w:rsidRDefault="00B31F61">
            <w:pPr>
              <w:ind w:left="108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Art History – Associate in Arts for Transfer (remove ARTH 5, 6, 7, 10, 11, 12, 13, 15, WOMN 4); per He Seon (6/21/17) also remove ARTH 14 and GWOS 4 from List A, which do not meet the TMC template requirement for non-western Art History courses) </w:t>
            </w:r>
          </w:p>
          <w:p w:rsidR="00B31F61" w:rsidRDefault="00B31F61"/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Communic</w:t>
            </w:r>
            <w:r>
              <w:t xml:space="preserve">ation Studies – Associate in Arts for Transfer (remove PERS 54 and SPCH 54)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Dance – Associate in Arts, Transfer Preparation (remove DANC 2, 3, 4, 92; change degree type from Non-Career Technical to Transfer Prep to match State Curriculum Inventory that h</w:t>
            </w:r>
            <w:r>
              <w:t xml:space="preserve">as Transfer Prep degree type for Dance but NonCareer Tech Dance course blocks. Original Transfer Prep program is being deleted and replaced with this proposal [previous version of this degree approved for deletion 5/17/17])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Electromechanical Technology: </w:t>
            </w:r>
            <w:r>
              <w:t xml:space="preserve">Industrial Automation/Mechatronics Technology – Certificate of Training (remove CSIS 45); program outcomes also updated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Electromechanical Technology: Mechatronics Technology – Certificate of Training (remove ENGR 50)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English: Creative Writing - Certificate of Training, Credit Only (remove ENGL 10; replace with ENGL 43)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English – Associate in Arts for Transfer (remove ENGL 10)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Engineering – Associate in Arts, Transfer Preparation (remove ENGR 50 and 52)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Family and</w:t>
            </w:r>
            <w:r>
              <w:t xml:space="preserve"> Consumer Science – Associate in Arts, Career Technical (remove FASH 63, HOSP 72, 73, 74, 75, 76, 79, 85)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General Studies: Arts and Humanities Emphasis - Associate in Arts, Non-Career Technical (remove deleted courses ENGL 10 and GWOS 25; also remove ARAB</w:t>
            </w:r>
            <w:r>
              <w:t xml:space="preserve"> 1A, 1B, ARTH 6,7, 30, CHIN 1A, 1B, ENGL 38, GERM 1A, 1B, 2A, 2B, GWOS 25, MUSI 4, PHIL 12, SPAN 5, SPAN 225A, 225B, WRLD 20)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General Studies: Communication and Analytical Thinking Emphasis - Associate in Arts, Non-Career Technical (remove deleted course</w:t>
            </w:r>
            <w:r>
              <w:t xml:space="preserve"> MATH 12; also remove PERS 54, OCEN 10, SPCH 54)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General Studies: Social Science Emphasis - Associate in Arts, Non-Career Technical (remove deleted course GWOS 25; also remove GEOG 5, WRLD 20, PSYC 33, HIST 2, HIST 48)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General Studies: Natural Science </w:t>
            </w:r>
            <w:r>
              <w:t xml:space="preserve">Emphasis – Associate in Arts, Career Technical (remove ASTR 21, BIOL 36, MAST 70, GEOL 8)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General Studies: Social Science Emphasis – Associate in Arts, Non-Career Technical (remove GEOG 5, GWOS 25, HIST 2 and 48, PSYC 33, WRLD 20)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Graphic Arts – Associ</w:t>
            </w:r>
            <w:r>
              <w:t xml:space="preserve">ate in Arts, Career Technical (remove ARTG 14)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History – Associate in Arts for Transfer (remove ARAB 1A, 1B, CHIN 1A, 1B, GERM 1A, 1B, 2A, 2B, HIST 2, 48); per He Seon (6/21/17) also remove SIGN 2A which no longer meets the TMC template requirement for C</w:t>
            </w:r>
            <w:r>
              <w:t xml:space="preserve">SU-GE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Interior Design – Certificate of Achievement and Associate in Arts, Career Technical (remove ARTH 10)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Linguistics – Associate in Arts, Transfer Preparation (remove GERM 1A, 1B, 2A)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Music – Associate in Arts, Transfer Preparation (remove MUSI 34)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Music – Certificate of Achievement and Associate in Arts, Non-Career Technical (remove MUSI 22, 46)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Philosophy – Associate in Arts for Transfer (remove PHIL 12); per He Seon (6/21/17) also</w:t>
            </w:r>
            <w:r>
              <w:t xml:space="preserve"> collapsed List A into Required Core since only two courses are left to choose out of two after the removal of PHIL 12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lastRenderedPageBreak/>
              <w:t xml:space="preserve">Spanish – Associate in Arts for Transfer (remove ANTH 15 and SPAN 5)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>Studio Arts – Associate in Arts for Transfer (remove ARTH 5, 6, 7</w:t>
            </w:r>
            <w:r>
              <w:t xml:space="preserve">, 9); per He Seon (6/21/17) also remove HUMA 4 (does not meet the TMC template requirement for articulation in the major) and replace deleted course ARTD 80 with ARTD 40 and 40A under Applied Design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Theater Arts – Associate in Arts, Transfer Preparation </w:t>
            </w:r>
            <w:r>
              <w:t xml:space="preserve">(remove THEA 40, 41, 42, 43, 49, 56, 58, 60, 61, 62, 63, 64)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numPr>
                <w:ilvl w:val="1"/>
                <w:numId w:val="1"/>
              </w:numPr>
              <w:contextualSpacing/>
            </w:pPr>
            <w:r>
              <w:t xml:space="preserve">Theater Arts – Associate in Arts, Non-Career Technical (remove THEA 30, 49, 103, 104, 106, 109); also added a program description (7/21/17) </w:t>
            </w:r>
          </w:p>
          <w:p w:rsidR="00B31F61" w:rsidRDefault="00B31F61">
            <w:pPr>
              <w:ind w:left="720"/>
            </w:pPr>
          </w:p>
          <w:p w:rsidR="00B31F61" w:rsidRDefault="00806A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Effective spring 2018 </w:t>
            </w:r>
          </w:p>
          <w:p w:rsidR="00B31F61" w:rsidRDefault="00806A52">
            <w:pPr>
              <w:numPr>
                <w:ilvl w:val="0"/>
                <w:numId w:val="3"/>
              </w:numPr>
              <w:contextualSpacing/>
            </w:pPr>
            <w:bookmarkStart w:id="1" w:name="_gjdgxs" w:colFirst="0" w:colLast="0"/>
            <w:bookmarkEnd w:id="1"/>
            <w:r>
              <w:t>Per Lyndon Schutzler, revise</w:t>
            </w:r>
            <w:r>
              <w:t xml:space="preserve"> format for the following Fitness Center courses from scheduled to TBA/open lab: PFIT 2, PFIT 6, PFIT 7, PFIT 8, PFIT 9, PFIT 10A, PFIT 10B, PFIT 10C, PFIT 20</w:t>
            </w:r>
          </w:p>
        </w:tc>
        <w:tc>
          <w:tcPr>
            <w:tcW w:w="3240" w:type="dxa"/>
          </w:tcPr>
          <w:p w:rsidR="00B31F61" w:rsidRDefault="00806A52">
            <w:r>
              <w:lastRenderedPageBreak/>
              <w:t>Motion to approve: Fred</w:t>
            </w:r>
          </w:p>
          <w:p w:rsidR="00B31F61" w:rsidRDefault="00806A52">
            <w:r>
              <w:t>Seconded: Laura L</w:t>
            </w:r>
          </w:p>
          <w:p w:rsidR="00B31F61" w:rsidRDefault="00806A52">
            <w:pPr>
              <w:rPr>
                <w:b/>
              </w:rPr>
            </w:pPr>
            <w:r>
              <w:t>CAC Committee Voted: Aye</w:t>
            </w:r>
          </w:p>
          <w:p w:rsidR="00B31F61" w:rsidRDefault="00B31F61">
            <w:pPr>
              <w:ind w:left="1080"/>
            </w:pPr>
          </w:p>
        </w:tc>
      </w:tr>
      <w:tr w:rsidR="00B31F61">
        <w:trPr>
          <w:trHeight w:val="340"/>
        </w:trPr>
        <w:tc>
          <w:tcPr>
            <w:tcW w:w="1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lastRenderedPageBreak/>
              <w:t>Action Agenda</w:t>
            </w:r>
          </w:p>
        </w:tc>
      </w:tr>
      <w:tr w:rsidR="00B31F61">
        <w:trPr>
          <w:trHeight w:val="34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COMM 35</w:t>
            </w:r>
          </w:p>
          <w:p w:rsidR="00B31F61" w:rsidRDefault="00806A52">
            <w:r>
              <w:t>(New DE)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r>
              <w:rPr>
                <w:b/>
              </w:rPr>
              <w:t xml:space="preserve">Introduction to Nonverbal Communication </w:t>
            </w:r>
            <w:r>
              <w:t>is a new DE course that is being created to cross-list with LING 35. CSU GE and IGETC approval is sought</w:t>
            </w:r>
          </w:p>
          <w:p w:rsidR="00B31F61" w:rsidRDefault="00B31F61"/>
          <w:p w:rsidR="00B31F61" w:rsidRDefault="00806A52">
            <w:r>
              <w:t>Add hybrid as method of instruction and hybrid wording on catalog and schedule description since hybr</w:t>
            </w:r>
            <w:r>
              <w:t>id is addressed on the DE form</w:t>
            </w:r>
          </w:p>
          <w:p w:rsidR="00B31F61" w:rsidRDefault="00B31F61"/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r>
              <w:t>Motion to approve: Fred</w:t>
            </w:r>
          </w:p>
          <w:p w:rsidR="00B31F61" w:rsidRDefault="00806A52">
            <w:r>
              <w:t>Seconded: Gamble</w:t>
            </w:r>
          </w:p>
          <w:p w:rsidR="00B31F61" w:rsidRDefault="00806A52">
            <w:r>
              <w:t>CAC Committee Voted: Aye</w:t>
            </w:r>
          </w:p>
          <w:p w:rsidR="00B31F61" w:rsidRDefault="00B31F61"/>
          <w:p w:rsidR="00B31F61" w:rsidRDefault="00806A52">
            <w:r>
              <w:t xml:space="preserve">DE motion to approve: Richard </w:t>
            </w:r>
          </w:p>
          <w:p w:rsidR="00B31F61" w:rsidRDefault="00806A52">
            <w:r>
              <w:t>Seconded: Lynn</w:t>
            </w:r>
          </w:p>
          <w:p w:rsidR="00B31F61" w:rsidRDefault="00806A52">
            <w:pPr>
              <w:rPr>
                <w:b/>
              </w:rPr>
            </w:pPr>
            <w:r>
              <w:t>CAC Committee Voted: Aye</w:t>
            </w:r>
          </w:p>
          <w:p w:rsidR="00B31F61" w:rsidRDefault="00806A52">
            <w:pPr>
              <w:rPr>
                <w:b/>
              </w:rPr>
            </w:pPr>
            <w:r>
              <w:t xml:space="preserve"> </w:t>
            </w:r>
          </w:p>
        </w:tc>
      </w:tr>
      <w:tr w:rsidR="00B31F61">
        <w:trPr>
          <w:trHeight w:val="34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LING 35</w:t>
            </w:r>
          </w:p>
          <w:p w:rsidR="00B31F61" w:rsidRDefault="00806A52">
            <w:pPr>
              <w:rPr>
                <w:b/>
              </w:rPr>
            </w:pPr>
            <w:r>
              <w:t>(DE Revision)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r>
              <w:rPr>
                <w:b/>
              </w:rPr>
              <w:t>Introduction to Nonverbal Communication</w:t>
            </w:r>
            <w:r>
              <w:rPr>
                <w:i/>
              </w:rPr>
              <w:t xml:space="preserve"> </w:t>
            </w:r>
            <w:r>
              <w:t>is being revised to cross-list with COMM 35</w:t>
            </w:r>
          </w:p>
          <w:p w:rsidR="00B31F61" w:rsidRDefault="00B31F61"/>
          <w:p w:rsidR="00B31F61" w:rsidRDefault="00806A52">
            <w:r>
              <w:t>Add hybrid as method of instruction and hybrid wording on catalog and schedule description since hybrid is addressed on the DE form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B31F61"/>
        </w:tc>
      </w:tr>
      <w:tr w:rsidR="00B31F61">
        <w:trPr>
          <w:trHeight w:val="34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ENGL 20</w:t>
            </w:r>
          </w:p>
          <w:p w:rsidR="00B31F61" w:rsidRDefault="00806A52">
            <w:r>
              <w:t>(New DE)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r>
              <w:rPr>
                <w:b/>
              </w:rPr>
              <w:t xml:space="preserve">Modern Grammar for College and the Professions </w:t>
            </w:r>
            <w:r>
              <w:t>is a new DE course that is being created to assist students enrolled in transfer-level writing courses with preparation of college level work</w:t>
            </w:r>
          </w:p>
          <w:p w:rsidR="00B31F61" w:rsidRDefault="00B31F61"/>
          <w:p w:rsidR="00B31F61" w:rsidRDefault="00806A52">
            <w:pPr>
              <w:rPr>
                <w:i/>
              </w:rPr>
            </w:pPr>
            <w:r>
              <w:t>Email to be sent to Beth Penney to see if she wants to add hybrid as a method of instruction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61" w:rsidRDefault="00806A52">
            <w:r>
              <w:t>Motion to approve: L</w:t>
            </w:r>
            <w:r>
              <w:t>ynn</w:t>
            </w:r>
          </w:p>
          <w:p w:rsidR="00B31F61" w:rsidRDefault="00806A52">
            <w:r>
              <w:t>Seconded: LaRon</w:t>
            </w:r>
          </w:p>
          <w:p w:rsidR="00B31F61" w:rsidRDefault="00806A52">
            <w:r>
              <w:t>CAC Committee Voted: Aye</w:t>
            </w:r>
          </w:p>
          <w:p w:rsidR="00B31F61" w:rsidRDefault="00B31F61"/>
          <w:p w:rsidR="00B31F61" w:rsidRDefault="00806A52">
            <w:r>
              <w:t>DE motion to approve: Lynn Seconded: Gamble</w:t>
            </w:r>
          </w:p>
          <w:p w:rsidR="00B31F61" w:rsidRDefault="00806A52">
            <w:r>
              <w:t>CAC Committee Voted: Aye</w:t>
            </w:r>
          </w:p>
          <w:p w:rsidR="00B31F61" w:rsidRDefault="00B31F61">
            <w:pPr>
              <w:rPr>
                <w:b/>
              </w:rPr>
            </w:pPr>
          </w:p>
        </w:tc>
      </w:tr>
      <w:tr w:rsidR="00B31F61">
        <w:trPr>
          <w:trHeight w:val="340"/>
        </w:trPr>
        <w:tc>
          <w:tcPr>
            <w:tcW w:w="1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1" w:rsidRDefault="00B31F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B31F61" w:rsidRDefault="00806A52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Next meeting: </w:t>
            </w:r>
            <w:r>
              <w:t>August 30, 2017</w:t>
            </w:r>
          </w:p>
          <w:p w:rsidR="00B31F61" w:rsidRDefault="00806A52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</w:rPr>
              <w:t xml:space="preserve">Location: </w:t>
            </w:r>
            <w:r>
              <w:t>BMC 204</w:t>
            </w:r>
          </w:p>
        </w:tc>
      </w:tr>
    </w:tbl>
    <w:p w:rsidR="00B31F61" w:rsidRDefault="00B31F61">
      <w:pPr>
        <w:rPr>
          <w:sz w:val="2"/>
          <w:szCs w:val="2"/>
        </w:rPr>
      </w:pPr>
    </w:p>
    <w:sectPr w:rsidR="00B31F61">
      <w:footerReference w:type="default" r:id="rId8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A52">
      <w:r>
        <w:separator/>
      </w:r>
    </w:p>
  </w:endnote>
  <w:endnote w:type="continuationSeparator" w:id="0">
    <w:p w:rsidR="00000000" w:rsidRDefault="008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61" w:rsidRDefault="00806A52">
    <w:pPr>
      <w:tabs>
        <w:tab w:val="center" w:pos="4320"/>
        <w:tab w:val="right" w:pos="8640"/>
      </w:tabs>
      <w:spacing w:after="720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A52">
      <w:r>
        <w:separator/>
      </w:r>
    </w:p>
  </w:footnote>
  <w:footnote w:type="continuationSeparator" w:id="0">
    <w:p w:rsidR="00000000" w:rsidRDefault="008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C2"/>
    <w:multiLevelType w:val="multilevel"/>
    <w:tmpl w:val="E3829BF4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11E07421"/>
    <w:multiLevelType w:val="multilevel"/>
    <w:tmpl w:val="E4DA105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7B82975"/>
    <w:multiLevelType w:val="multilevel"/>
    <w:tmpl w:val="3BC0C1A8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>
    <w:nsid w:val="33AC0E49"/>
    <w:multiLevelType w:val="multilevel"/>
    <w:tmpl w:val="4E220230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>
    <w:nsid w:val="33E51461"/>
    <w:multiLevelType w:val="multilevel"/>
    <w:tmpl w:val="25AA30A0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>
    <w:nsid w:val="65860790"/>
    <w:multiLevelType w:val="multilevel"/>
    <w:tmpl w:val="B6C67D46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1F61"/>
    <w:rsid w:val="00806A52"/>
    <w:rsid w:val="00B3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E7363E4A</Template>
  <TotalTime>0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 Madsen</dc:creator>
  <cp:lastModifiedBy>Gamble Madsen</cp:lastModifiedBy>
  <cp:revision>2</cp:revision>
  <dcterms:created xsi:type="dcterms:W3CDTF">2017-08-31T00:34:00Z</dcterms:created>
  <dcterms:modified xsi:type="dcterms:W3CDTF">2017-08-31T00:34:00Z</dcterms:modified>
</cp:coreProperties>
</file>